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A41" w:rsidRPr="00070A41" w:rsidRDefault="00070A41" w:rsidP="00070A41">
      <w:pPr>
        <w:jc w:val="center"/>
        <w:rPr>
          <w:rStyle w:val="blk"/>
          <w:b/>
        </w:rPr>
      </w:pPr>
      <w:bookmarkStart w:id="0" w:name="_GoBack"/>
      <w:bookmarkEnd w:id="0"/>
    </w:p>
    <w:p w:rsidR="00070A41" w:rsidRPr="002B4AC8" w:rsidRDefault="00070A41" w:rsidP="00070A41">
      <w:pPr>
        <w:jc w:val="center"/>
        <w:rPr>
          <w:rStyle w:val="blk"/>
          <w:b/>
        </w:rPr>
      </w:pPr>
      <w:proofErr w:type="gramStart"/>
      <w:r w:rsidRPr="002B4AC8">
        <w:rPr>
          <w:rStyle w:val="blk"/>
          <w:b/>
        </w:rPr>
        <w:t>РАСЧЕТ  УСЛОВНО</w:t>
      </w:r>
      <w:proofErr w:type="gramEnd"/>
      <w:r w:rsidRPr="002B4AC8">
        <w:rPr>
          <w:rStyle w:val="blk"/>
          <w:b/>
        </w:rPr>
        <w:t xml:space="preserve">  УТВЕРЖДАЕМЫХ РАСХОДОВ :</w:t>
      </w:r>
    </w:p>
    <w:p w:rsidR="00070A41" w:rsidRPr="002B4AC8" w:rsidRDefault="003A0ECD">
      <w:pPr>
        <w:rPr>
          <w:rStyle w:val="blk"/>
          <w:b/>
        </w:rPr>
      </w:pPr>
      <w:r w:rsidRPr="002B4AC8">
        <w:rPr>
          <w:rStyle w:val="blk"/>
          <w:b/>
        </w:rPr>
        <w:t xml:space="preserve">                      </w:t>
      </w:r>
      <w:r w:rsidR="003B6601" w:rsidRPr="002B4AC8">
        <w:rPr>
          <w:rStyle w:val="blk"/>
          <w:b/>
        </w:rPr>
        <w:t xml:space="preserve">В соответствии </w:t>
      </w:r>
      <w:proofErr w:type="gramStart"/>
      <w:r w:rsidR="003B6601" w:rsidRPr="002B4AC8">
        <w:rPr>
          <w:rStyle w:val="blk"/>
          <w:b/>
        </w:rPr>
        <w:t xml:space="preserve">со  </w:t>
      </w:r>
      <w:r w:rsidR="003F08AE" w:rsidRPr="002B4AC8">
        <w:rPr>
          <w:rStyle w:val="blk"/>
          <w:b/>
        </w:rPr>
        <w:t>СТАТЬЯ</w:t>
      </w:r>
      <w:proofErr w:type="gramEnd"/>
      <w:r w:rsidR="003F08AE" w:rsidRPr="002B4AC8">
        <w:rPr>
          <w:rStyle w:val="blk"/>
          <w:b/>
        </w:rPr>
        <w:t xml:space="preserve"> 184 Бюджетного кодекса РФ.</w:t>
      </w:r>
      <w:r w:rsidRPr="002B4AC8">
        <w:rPr>
          <w:rStyle w:val="blk"/>
          <w:b/>
        </w:rPr>
        <w:t>,</w:t>
      </w:r>
      <w:r w:rsidR="000D710A" w:rsidRPr="002B4AC8">
        <w:rPr>
          <w:rStyle w:val="blk"/>
          <w:b/>
        </w:rPr>
        <w:t xml:space="preserve"> </w:t>
      </w:r>
      <w:r w:rsidRPr="002B4AC8">
        <w:rPr>
          <w:rStyle w:val="blk"/>
          <w:b/>
        </w:rPr>
        <w:t>в решение о бюджете должны предусматриваться условно утверждаемые расходы.</w:t>
      </w:r>
    </w:p>
    <w:p w:rsidR="00377F17" w:rsidRPr="002B4AC8" w:rsidRDefault="00811918">
      <w:pPr>
        <w:rPr>
          <w:rStyle w:val="blk"/>
        </w:rPr>
      </w:pPr>
      <w:r w:rsidRPr="002B4AC8">
        <w:rPr>
          <w:rStyle w:val="blk"/>
        </w:rPr>
        <w:t>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5F41CD" w:rsidRPr="002B4AC8" w:rsidRDefault="003F08AE" w:rsidP="003F08AE">
      <w:pPr>
        <w:jc w:val="right"/>
        <w:rPr>
          <w:rStyle w:val="blk"/>
        </w:rPr>
      </w:pPr>
      <w:r w:rsidRPr="002B4AC8">
        <w:rPr>
          <w:rStyle w:val="blk"/>
        </w:rPr>
        <w:t>в тыс.</w:t>
      </w:r>
      <w:r w:rsidR="00E70B95" w:rsidRPr="002B4AC8">
        <w:rPr>
          <w:rStyle w:val="blk"/>
        </w:rPr>
        <w:t xml:space="preserve"> </w:t>
      </w:r>
      <w:r w:rsidRPr="002B4AC8">
        <w:rPr>
          <w:rStyle w:val="blk"/>
        </w:rPr>
        <w:t>руб</w:t>
      </w:r>
      <w:r w:rsidR="00E70B95" w:rsidRPr="002B4AC8">
        <w:rPr>
          <w:rStyle w:val="blk"/>
        </w:rPr>
        <w:t>.</w:t>
      </w:r>
    </w:p>
    <w:tbl>
      <w:tblPr>
        <w:tblpPr w:leftFromText="180" w:rightFromText="180" w:vertAnchor="text" w:tblpX="79" w:tblpY="2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2126"/>
        <w:gridCol w:w="2299"/>
      </w:tblGrid>
      <w:tr w:rsidR="002B4AC8" w:rsidRPr="002B4AC8" w:rsidTr="009626F2">
        <w:trPr>
          <w:trHeight w:val="690"/>
        </w:trPr>
        <w:tc>
          <w:tcPr>
            <w:tcW w:w="5070" w:type="dxa"/>
          </w:tcPr>
          <w:p w:rsidR="005F41CD" w:rsidRPr="002B4AC8" w:rsidRDefault="005F41CD" w:rsidP="005F41CD"/>
        </w:tc>
        <w:tc>
          <w:tcPr>
            <w:tcW w:w="2126" w:type="dxa"/>
          </w:tcPr>
          <w:p w:rsidR="005F41CD" w:rsidRPr="002B4AC8" w:rsidRDefault="00A63F95" w:rsidP="00A63F95">
            <w:pPr>
              <w:jc w:val="center"/>
              <w:rPr>
                <w:b/>
              </w:rPr>
            </w:pPr>
            <w:r w:rsidRPr="002B4AC8">
              <w:rPr>
                <w:b/>
              </w:rPr>
              <w:t>2021</w:t>
            </w:r>
          </w:p>
        </w:tc>
        <w:tc>
          <w:tcPr>
            <w:tcW w:w="2299" w:type="dxa"/>
          </w:tcPr>
          <w:p w:rsidR="005F41CD" w:rsidRPr="002B4AC8" w:rsidRDefault="00A63F95" w:rsidP="00A63F95">
            <w:pPr>
              <w:jc w:val="center"/>
              <w:rPr>
                <w:b/>
              </w:rPr>
            </w:pPr>
            <w:r w:rsidRPr="002B4AC8">
              <w:rPr>
                <w:b/>
              </w:rPr>
              <w:t>2022</w:t>
            </w:r>
          </w:p>
        </w:tc>
      </w:tr>
      <w:tr w:rsidR="002B4AC8" w:rsidRPr="002B4AC8" w:rsidTr="009626F2">
        <w:trPr>
          <w:trHeight w:val="405"/>
        </w:trPr>
        <w:tc>
          <w:tcPr>
            <w:tcW w:w="5070" w:type="dxa"/>
          </w:tcPr>
          <w:p w:rsidR="005F41CD" w:rsidRPr="002B4AC8" w:rsidRDefault="009626F2" w:rsidP="005F41CD">
            <w:pPr>
              <w:rPr>
                <w:b/>
              </w:rPr>
            </w:pPr>
            <w:proofErr w:type="gramStart"/>
            <w:r w:rsidRPr="002B4AC8">
              <w:rPr>
                <w:b/>
              </w:rPr>
              <w:t>Расходы  всего</w:t>
            </w:r>
            <w:proofErr w:type="gramEnd"/>
            <w:r w:rsidRPr="002B4AC8">
              <w:rPr>
                <w:b/>
              </w:rPr>
              <w:t xml:space="preserve"> </w:t>
            </w:r>
          </w:p>
        </w:tc>
        <w:tc>
          <w:tcPr>
            <w:tcW w:w="2126" w:type="dxa"/>
          </w:tcPr>
          <w:p w:rsidR="005F41CD" w:rsidRPr="002B4AC8" w:rsidRDefault="00782967" w:rsidP="009626F2">
            <w:pPr>
              <w:jc w:val="center"/>
              <w:rPr>
                <w:b/>
              </w:rPr>
            </w:pPr>
            <w:r w:rsidRPr="002B4AC8">
              <w:rPr>
                <w:b/>
              </w:rPr>
              <w:t>745 216,2</w:t>
            </w:r>
          </w:p>
        </w:tc>
        <w:tc>
          <w:tcPr>
            <w:tcW w:w="2299" w:type="dxa"/>
          </w:tcPr>
          <w:p w:rsidR="005F41CD" w:rsidRPr="002B4AC8" w:rsidRDefault="007058C1" w:rsidP="009626F2">
            <w:pPr>
              <w:jc w:val="center"/>
              <w:rPr>
                <w:b/>
              </w:rPr>
            </w:pPr>
            <w:r w:rsidRPr="002B4AC8">
              <w:rPr>
                <w:b/>
              </w:rPr>
              <w:t>677 182,5</w:t>
            </w:r>
          </w:p>
        </w:tc>
      </w:tr>
      <w:tr w:rsidR="002B4AC8" w:rsidRPr="002B4AC8" w:rsidTr="009626F2">
        <w:trPr>
          <w:trHeight w:val="327"/>
        </w:trPr>
        <w:tc>
          <w:tcPr>
            <w:tcW w:w="5070" w:type="dxa"/>
          </w:tcPr>
          <w:p w:rsidR="005F41CD" w:rsidRPr="002B4AC8" w:rsidRDefault="009626F2" w:rsidP="009626F2">
            <w:pPr>
              <w:jc w:val="center"/>
            </w:pPr>
            <w:proofErr w:type="gramStart"/>
            <w:r w:rsidRPr="002B4AC8">
              <w:t>в  том</w:t>
            </w:r>
            <w:proofErr w:type="gramEnd"/>
            <w:r w:rsidRPr="002B4AC8">
              <w:t xml:space="preserve"> числе:</w:t>
            </w:r>
          </w:p>
        </w:tc>
        <w:tc>
          <w:tcPr>
            <w:tcW w:w="2126" w:type="dxa"/>
          </w:tcPr>
          <w:p w:rsidR="005F41CD" w:rsidRPr="002B4AC8" w:rsidRDefault="005F41CD" w:rsidP="009626F2">
            <w:pPr>
              <w:jc w:val="center"/>
            </w:pPr>
          </w:p>
        </w:tc>
        <w:tc>
          <w:tcPr>
            <w:tcW w:w="2299" w:type="dxa"/>
          </w:tcPr>
          <w:p w:rsidR="005F41CD" w:rsidRPr="002B4AC8" w:rsidRDefault="005F41CD" w:rsidP="009626F2">
            <w:pPr>
              <w:jc w:val="center"/>
            </w:pPr>
          </w:p>
        </w:tc>
      </w:tr>
      <w:tr w:rsidR="002B4AC8" w:rsidRPr="002B4AC8" w:rsidTr="009626F2">
        <w:trPr>
          <w:trHeight w:val="585"/>
        </w:trPr>
        <w:tc>
          <w:tcPr>
            <w:tcW w:w="5070" w:type="dxa"/>
          </w:tcPr>
          <w:p w:rsidR="005F41CD" w:rsidRPr="002B4AC8" w:rsidRDefault="009626F2" w:rsidP="005F41CD">
            <w:r w:rsidRPr="002B4AC8">
              <w:t xml:space="preserve">за счет субсидий </w:t>
            </w:r>
          </w:p>
        </w:tc>
        <w:tc>
          <w:tcPr>
            <w:tcW w:w="2126" w:type="dxa"/>
          </w:tcPr>
          <w:p w:rsidR="005F41CD" w:rsidRPr="002B4AC8" w:rsidRDefault="00782967" w:rsidP="009626F2">
            <w:pPr>
              <w:jc w:val="center"/>
            </w:pPr>
            <w:r w:rsidRPr="002B4AC8">
              <w:t>90 847,0</w:t>
            </w:r>
          </w:p>
        </w:tc>
        <w:tc>
          <w:tcPr>
            <w:tcW w:w="2299" w:type="dxa"/>
          </w:tcPr>
          <w:p w:rsidR="005F41CD" w:rsidRPr="002B4AC8" w:rsidRDefault="00FB03E5" w:rsidP="009626F2">
            <w:pPr>
              <w:jc w:val="center"/>
            </w:pPr>
            <w:r w:rsidRPr="002B4AC8">
              <w:t>9 889,0</w:t>
            </w:r>
          </w:p>
        </w:tc>
      </w:tr>
      <w:tr w:rsidR="002B4AC8" w:rsidRPr="002B4AC8" w:rsidTr="009626F2">
        <w:trPr>
          <w:trHeight w:val="630"/>
        </w:trPr>
        <w:tc>
          <w:tcPr>
            <w:tcW w:w="5070" w:type="dxa"/>
          </w:tcPr>
          <w:p w:rsidR="005F41CD" w:rsidRPr="002B4AC8" w:rsidRDefault="009626F2" w:rsidP="005F41CD">
            <w:r w:rsidRPr="002B4AC8">
              <w:t xml:space="preserve">за счет субвенций </w:t>
            </w:r>
          </w:p>
        </w:tc>
        <w:tc>
          <w:tcPr>
            <w:tcW w:w="2126" w:type="dxa"/>
          </w:tcPr>
          <w:p w:rsidR="005F41CD" w:rsidRPr="002B4AC8" w:rsidRDefault="000D710A" w:rsidP="009626F2">
            <w:pPr>
              <w:jc w:val="center"/>
            </w:pPr>
            <w:r w:rsidRPr="002B4AC8">
              <w:t>320 911,7</w:t>
            </w:r>
          </w:p>
        </w:tc>
        <w:tc>
          <w:tcPr>
            <w:tcW w:w="2299" w:type="dxa"/>
          </w:tcPr>
          <w:p w:rsidR="005F41CD" w:rsidRPr="002B4AC8" w:rsidRDefault="00B45FC8" w:rsidP="009626F2">
            <w:pPr>
              <w:jc w:val="center"/>
            </w:pPr>
            <w:r w:rsidRPr="002B4AC8">
              <w:t>321 473,6</w:t>
            </w:r>
          </w:p>
        </w:tc>
      </w:tr>
      <w:tr w:rsidR="002B4AC8" w:rsidRPr="002B4AC8" w:rsidTr="009626F2">
        <w:trPr>
          <w:trHeight w:val="645"/>
        </w:trPr>
        <w:tc>
          <w:tcPr>
            <w:tcW w:w="5070" w:type="dxa"/>
          </w:tcPr>
          <w:p w:rsidR="005F41CD" w:rsidRPr="002B4AC8" w:rsidRDefault="009626F2" w:rsidP="005F41CD">
            <w:r w:rsidRPr="002B4AC8">
              <w:t>за счет иных межбюджетных трансфертов</w:t>
            </w:r>
          </w:p>
        </w:tc>
        <w:tc>
          <w:tcPr>
            <w:tcW w:w="2126" w:type="dxa"/>
          </w:tcPr>
          <w:p w:rsidR="005F41CD" w:rsidRPr="002B4AC8" w:rsidRDefault="009626F2" w:rsidP="009626F2">
            <w:pPr>
              <w:jc w:val="center"/>
            </w:pPr>
            <w:r w:rsidRPr="002B4AC8">
              <w:t>35 832,4</w:t>
            </w:r>
          </w:p>
        </w:tc>
        <w:tc>
          <w:tcPr>
            <w:tcW w:w="2299" w:type="dxa"/>
          </w:tcPr>
          <w:p w:rsidR="005F41CD" w:rsidRPr="002B4AC8" w:rsidRDefault="009626F2" w:rsidP="009626F2">
            <w:pPr>
              <w:jc w:val="center"/>
            </w:pPr>
            <w:r w:rsidRPr="002B4AC8">
              <w:t>35 832,4</w:t>
            </w:r>
          </w:p>
        </w:tc>
      </w:tr>
      <w:tr w:rsidR="002B4AC8" w:rsidRPr="002B4AC8" w:rsidTr="009626F2">
        <w:trPr>
          <w:trHeight w:val="495"/>
        </w:trPr>
        <w:tc>
          <w:tcPr>
            <w:tcW w:w="5070" w:type="dxa"/>
          </w:tcPr>
          <w:p w:rsidR="005F41CD" w:rsidRPr="002B4AC8" w:rsidRDefault="00260F84" w:rsidP="005F41CD">
            <w:r w:rsidRPr="002B4AC8">
              <w:t xml:space="preserve">Расходы </w:t>
            </w:r>
            <w:proofErr w:type="gramStart"/>
            <w:r w:rsidRPr="002B4AC8">
              <w:t>(</w:t>
            </w:r>
            <w:r w:rsidRPr="002B4AC8">
              <w:rPr>
                <w:rStyle w:val="blk"/>
              </w:rPr>
              <w:t xml:space="preserve"> без</w:t>
            </w:r>
            <w:proofErr w:type="gramEnd"/>
            <w:r w:rsidRPr="002B4AC8">
              <w:rPr>
                <w:rStyle w:val="blk"/>
              </w:rPr>
              <w:t xml:space="preserve">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tc>
        <w:tc>
          <w:tcPr>
            <w:tcW w:w="2126" w:type="dxa"/>
          </w:tcPr>
          <w:p w:rsidR="005F41CD" w:rsidRPr="002B4AC8" w:rsidRDefault="00260F84" w:rsidP="009626F2">
            <w:pPr>
              <w:jc w:val="center"/>
            </w:pPr>
            <w:r w:rsidRPr="002B4AC8">
              <w:t>297 625,1</w:t>
            </w:r>
          </w:p>
        </w:tc>
        <w:tc>
          <w:tcPr>
            <w:tcW w:w="2299" w:type="dxa"/>
          </w:tcPr>
          <w:p w:rsidR="005F41CD" w:rsidRPr="002B4AC8" w:rsidRDefault="00260F84" w:rsidP="009626F2">
            <w:pPr>
              <w:jc w:val="center"/>
            </w:pPr>
            <w:r w:rsidRPr="002B4AC8">
              <w:t>309 987,5</w:t>
            </w:r>
          </w:p>
        </w:tc>
      </w:tr>
      <w:tr w:rsidR="002B4AC8" w:rsidRPr="002B4AC8" w:rsidTr="009626F2">
        <w:trPr>
          <w:trHeight w:val="495"/>
        </w:trPr>
        <w:tc>
          <w:tcPr>
            <w:tcW w:w="5070" w:type="dxa"/>
          </w:tcPr>
          <w:p w:rsidR="00D610CB" w:rsidRPr="002B4AC8" w:rsidRDefault="00D610CB" w:rsidP="00D610CB">
            <w:r w:rsidRPr="002B4AC8">
              <w:rPr>
                <w:rStyle w:val="blk"/>
              </w:rPr>
              <w:t xml:space="preserve">Процент </w:t>
            </w:r>
            <w:proofErr w:type="gramStart"/>
            <w:r w:rsidRPr="002B4AC8">
              <w:rPr>
                <w:rStyle w:val="blk"/>
              </w:rPr>
              <w:t>от  общего</w:t>
            </w:r>
            <w:proofErr w:type="gramEnd"/>
            <w:r w:rsidRPr="002B4AC8">
              <w:rPr>
                <w:rStyle w:val="blk"/>
              </w:rPr>
              <w:t xml:space="preserve"> объема расходов бюджета</w:t>
            </w:r>
          </w:p>
        </w:tc>
        <w:tc>
          <w:tcPr>
            <w:tcW w:w="2126" w:type="dxa"/>
          </w:tcPr>
          <w:p w:rsidR="00D610CB" w:rsidRPr="002B4AC8" w:rsidRDefault="00D610CB" w:rsidP="009626F2">
            <w:pPr>
              <w:jc w:val="center"/>
            </w:pPr>
            <w:r w:rsidRPr="002B4AC8">
              <w:t>2,5%</w:t>
            </w:r>
          </w:p>
        </w:tc>
        <w:tc>
          <w:tcPr>
            <w:tcW w:w="2299" w:type="dxa"/>
          </w:tcPr>
          <w:p w:rsidR="00D610CB" w:rsidRPr="002B4AC8" w:rsidRDefault="00D610CB" w:rsidP="009626F2">
            <w:pPr>
              <w:jc w:val="center"/>
            </w:pPr>
            <w:r w:rsidRPr="002B4AC8">
              <w:t>5,0 %</w:t>
            </w:r>
          </w:p>
        </w:tc>
      </w:tr>
      <w:tr w:rsidR="002B4AC8" w:rsidRPr="002B4AC8" w:rsidTr="009626F2">
        <w:trPr>
          <w:trHeight w:val="495"/>
        </w:trPr>
        <w:tc>
          <w:tcPr>
            <w:tcW w:w="5070" w:type="dxa"/>
          </w:tcPr>
          <w:p w:rsidR="003F08AE" w:rsidRPr="002B4AC8" w:rsidRDefault="003F08AE" w:rsidP="003F08AE">
            <w:pPr>
              <w:rPr>
                <w:rStyle w:val="blk"/>
              </w:rPr>
            </w:pPr>
            <w:r w:rsidRPr="002B4AC8">
              <w:rPr>
                <w:rStyle w:val="blk"/>
              </w:rPr>
              <w:t>Общий объем условно утверждаемых расходов</w:t>
            </w:r>
          </w:p>
        </w:tc>
        <w:tc>
          <w:tcPr>
            <w:tcW w:w="2126" w:type="dxa"/>
          </w:tcPr>
          <w:p w:rsidR="003F08AE" w:rsidRPr="002B4AC8" w:rsidRDefault="003F08AE" w:rsidP="009626F2">
            <w:pPr>
              <w:jc w:val="center"/>
            </w:pPr>
            <w:r w:rsidRPr="002B4AC8">
              <w:t>7 440,6</w:t>
            </w:r>
          </w:p>
        </w:tc>
        <w:tc>
          <w:tcPr>
            <w:tcW w:w="2299" w:type="dxa"/>
          </w:tcPr>
          <w:p w:rsidR="003F08AE" w:rsidRPr="002B4AC8" w:rsidRDefault="003F08AE" w:rsidP="009626F2">
            <w:pPr>
              <w:jc w:val="center"/>
            </w:pPr>
            <w:r w:rsidRPr="002B4AC8">
              <w:t>15 499,4</w:t>
            </w:r>
          </w:p>
        </w:tc>
      </w:tr>
    </w:tbl>
    <w:p w:rsidR="005F41CD" w:rsidRPr="002B4AC8" w:rsidRDefault="005F41CD">
      <w:r w:rsidRPr="002B4AC8">
        <w:rPr>
          <w:rStyle w:val="a5"/>
        </w:rPr>
        <w:endnoteReference w:id="1"/>
      </w:r>
    </w:p>
    <w:sectPr w:rsidR="005F41CD" w:rsidRPr="002B4AC8" w:rsidSect="00377F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88E" w:rsidRDefault="0093188E" w:rsidP="005F41CD">
      <w:pPr>
        <w:spacing w:after="0" w:line="240" w:lineRule="auto"/>
      </w:pPr>
      <w:r>
        <w:separator/>
      </w:r>
    </w:p>
  </w:endnote>
  <w:endnote w:type="continuationSeparator" w:id="0">
    <w:p w:rsidR="0093188E" w:rsidRDefault="0093188E" w:rsidP="005F41CD">
      <w:pPr>
        <w:spacing w:after="0" w:line="240" w:lineRule="auto"/>
      </w:pPr>
      <w:r>
        <w:continuationSeparator/>
      </w:r>
    </w:p>
  </w:endnote>
  <w:endnote w:id="1">
    <w:p w:rsidR="00B45FC8" w:rsidRDefault="00B45FC8">
      <w:pPr>
        <w:pStyle w:val="a3"/>
      </w:pPr>
      <w:r>
        <w:rPr>
          <w:rStyle w:val="a5"/>
        </w:rPr>
        <w:endnoteRef/>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88E" w:rsidRDefault="0093188E" w:rsidP="005F41CD">
      <w:pPr>
        <w:spacing w:after="0" w:line="240" w:lineRule="auto"/>
      </w:pPr>
      <w:r>
        <w:separator/>
      </w:r>
    </w:p>
  </w:footnote>
  <w:footnote w:type="continuationSeparator" w:id="0">
    <w:p w:rsidR="0093188E" w:rsidRDefault="0093188E" w:rsidP="005F41C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11918"/>
    <w:rsid w:val="00033D88"/>
    <w:rsid w:val="00070A41"/>
    <w:rsid w:val="000D710A"/>
    <w:rsid w:val="00104E0D"/>
    <w:rsid w:val="001E17D8"/>
    <w:rsid w:val="00260F84"/>
    <w:rsid w:val="002B4AC8"/>
    <w:rsid w:val="00377F17"/>
    <w:rsid w:val="003A0ECD"/>
    <w:rsid w:val="003B6601"/>
    <w:rsid w:val="003F08AE"/>
    <w:rsid w:val="005070D2"/>
    <w:rsid w:val="005F41CD"/>
    <w:rsid w:val="007058C1"/>
    <w:rsid w:val="00782967"/>
    <w:rsid w:val="007B3410"/>
    <w:rsid w:val="00811918"/>
    <w:rsid w:val="0093188E"/>
    <w:rsid w:val="009626F2"/>
    <w:rsid w:val="00A63F95"/>
    <w:rsid w:val="00AB539F"/>
    <w:rsid w:val="00B45FC8"/>
    <w:rsid w:val="00CA3791"/>
    <w:rsid w:val="00D610CB"/>
    <w:rsid w:val="00E70B95"/>
    <w:rsid w:val="00FB03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72C78B-0189-48AD-A362-EC46A6316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7F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rsid w:val="00811918"/>
  </w:style>
  <w:style w:type="paragraph" w:styleId="a3">
    <w:name w:val="endnote text"/>
    <w:basedOn w:val="a"/>
    <w:link w:val="a4"/>
    <w:uiPriority w:val="99"/>
    <w:semiHidden/>
    <w:unhideWhenUsed/>
    <w:rsid w:val="005F41CD"/>
    <w:pPr>
      <w:spacing w:after="0" w:line="240" w:lineRule="auto"/>
    </w:pPr>
    <w:rPr>
      <w:sz w:val="20"/>
      <w:szCs w:val="20"/>
    </w:rPr>
  </w:style>
  <w:style w:type="character" w:customStyle="1" w:styleId="a4">
    <w:name w:val="Текст концевой сноски Знак"/>
    <w:basedOn w:val="a0"/>
    <w:link w:val="a3"/>
    <w:uiPriority w:val="99"/>
    <w:semiHidden/>
    <w:rsid w:val="005F41CD"/>
    <w:rPr>
      <w:sz w:val="20"/>
      <w:szCs w:val="20"/>
    </w:rPr>
  </w:style>
  <w:style w:type="character" w:styleId="a5">
    <w:name w:val="endnote reference"/>
    <w:basedOn w:val="a0"/>
    <w:uiPriority w:val="99"/>
    <w:semiHidden/>
    <w:unhideWhenUsed/>
    <w:rsid w:val="005F41CD"/>
    <w:rPr>
      <w:vertAlign w:val="superscript"/>
    </w:rPr>
  </w:style>
  <w:style w:type="paragraph" w:styleId="a6">
    <w:name w:val="List Paragraph"/>
    <w:basedOn w:val="a"/>
    <w:uiPriority w:val="34"/>
    <w:qFormat/>
    <w:rsid w:val="009626F2"/>
    <w:pPr>
      <w:ind w:left="720"/>
      <w:contextualSpacing/>
    </w:pPr>
  </w:style>
  <w:style w:type="paragraph" w:styleId="a7">
    <w:name w:val="Balloon Text"/>
    <w:basedOn w:val="a"/>
    <w:link w:val="a8"/>
    <w:uiPriority w:val="99"/>
    <w:semiHidden/>
    <w:unhideWhenUsed/>
    <w:rsid w:val="000D710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D71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ECC3B1-9A2E-4A30-8ABF-EE4B33CF2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204</Words>
  <Characters>1163</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Гагина</cp:lastModifiedBy>
  <cp:revision>18</cp:revision>
  <cp:lastPrinted>2020-10-15T09:52:00Z</cp:lastPrinted>
  <dcterms:created xsi:type="dcterms:W3CDTF">2019-12-05T08:37:00Z</dcterms:created>
  <dcterms:modified xsi:type="dcterms:W3CDTF">2020-12-24T10:32:00Z</dcterms:modified>
</cp:coreProperties>
</file>